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69F39D21"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7E523B">
        <w:rPr>
          <w:iCs/>
        </w:rPr>
        <w:t>Week of 1/4/2015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1A8B2DC1"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809D287" w14:textId="77777777" w:rsidR="00865D01" w:rsidRDefault="00865D01" w:rsidP="00C50927">
            <w:pPr>
              <w:rPr>
                <w:rFonts w:ascii="Arial Narrow" w:hAnsi="Arial Narrow"/>
                <w:bCs/>
                <w:i/>
                <w:sz w:val="16"/>
                <w:szCs w:val="16"/>
              </w:rPr>
            </w:pPr>
          </w:p>
          <w:p w14:paraId="543BDF2E" w14:textId="13ADE3E7" w:rsidR="00266A0D" w:rsidRPr="003350EE" w:rsidRDefault="00266A0D" w:rsidP="00266A0D">
            <w:pPr>
              <w:pStyle w:val="NoSpacing"/>
              <w:rPr>
                <w:b/>
              </w:rPr>
            </w:pPr>
            <w:r w:rsidRPr="003350EE">
              <w:rPr>
                <w:b/>
              </w:rPr>
              <w:t>SS8CG4:  Analyze the role of the judicial branch in Georgia state government</w:t>
            </w:r>
            <w:r w:rsidR="00657FDA">
              <w:rPr>
                <w:b/>
              </w:rPr>
              <w:t xml:space="preserve"> (review)</w:t>
            </w:r>
            <w:r w:rsidRPr="003350EE">
              <w:rPr>
                <w:b/>
              </w:rPr>
              <w:t>.</w:t>
            </w:r>
          </w:p>
          <w:p w14:paraId="3EC67A90" w14:textId="5C8AD418" w:rsidR="00266A0D" w:rsidRPr="003350EE" w:rsidRDefault="00266A0D" w:rsidP="000A0EA4">
            <w:pPr>
              <w:pStyle w:val="NoSpacing"/>
              <w:numPr>
                <w:ilvl w:val="0"/>
                <w:numId w:val="6"/>
              </w:numPr>
            </w:pPr>
            <w:r w:rsidRPr="003350EE">
              <w:t>Explain the structure of the court system in Georgia including trial and appellate procedures and how judges are selected.</w:t>
            </w:r>
          </w:p>
          <w:p w14:paraId="5F58C731" w14:textId="77777777" w:rsidR="00266A0D" w:rsidRPr="003350EE" w:rsidRDefault="00266A0D" w:rsidP="000A0EA4">
            <w:pPr>
              <w:pStyle w:val="NoSpacing"/>
              <w:numPr>
                <w:ilvl w:val="0"/>
                <w:numId w:val="6"/>
              </w:numPr>
            </w:pPr>
            <w:r w:rsidRPr="003350EE">
              <w:t>Explain the difference between criminal law and civil law.</w:t>
            </w:r>
          </w:p>
          <w:p w14:paraId="6BDE9DAE" w14:textId="77777777" w:rsidR="00266A0D" w:rsidRPr="003350EE" w:rsidRDefault="00266A0D" w:rsidP="000A0EA4">
            <w:pPr>
              <w:pStyle w:val="NoSpacing"/>
              <w:numPr>
                <w:ilvl w:val="0"/>
                <w:numId w:val="6"/>
              </w:numPr>
            </w:pPr>
            <w:r w:rsidRPr="003350EE">
              <w:t>Describe the adult justice system, emphasizing the different jurisdictions, terminology, and steps in the criminal justice process.</w:t>
            </w:r>
          </w:p>
          <w:p w14:paraId="56541837" w14:textId="77777777" w:rsidR="00266A0D" w:rsidRPr="003350EE" w:rsidRDefault="00266A0D" w:rsidP="000A0EA4">
            <w:pPr>
              <w:pStyle w:val="NoSpacing"/>
              <w:numPr>
                <w:ilvl w:val="0"/>
                <w:numId w:val="6"/>
              </w:numPr>
            </w:pPr>
            <w:r w:rsidRPr="003350EE">
              <w:t>Describe ways to avoid trouble and settle disputes peacefully.</w:t>
            </w:r>
          </w:p>
          <w:p w14:paraId="5C8AA304" w14:textId="77777777" w:rsidR="009B3BE7" w:rsidRDefault="00266A0D" w:rsidP="000A0EA4">
            <w:pPr>
              <w:pStyle w:val="NoSpacing"/>
              <w:numPr>
                <w:ilvl w:val="0"/>
                <w:numId w:val="1"/>
              </w:numPr>
            </w:pPr>
            <w:r w:rsidRPr="003350EE">
              <w:t>Evaluate how the judicial branch fulfills its role in interpreting the laws of Georgia and ensuring justice in our legal system.</w:t>
            </w:r>
          </w:p>
          <w:p w14:paraId="7191CD32" w14:textId="77777777" w:rsidR="00422F60" w:rsidRDefault="00422F60" w:rsidP="00422F60">
            <w:pPr>
              <w:pStyle w:val="NoSpacing"/>
            </w:pPr>
          </w:p>
          <w:p w14:paraId="0179F57F" w14:textId="77777777" w:rsidR="00422F60" w:rsidRDefault="00422F60" w:rsidP="00422F60">
            <w:pPr>
              <w:pStyle w:val="NoSpacing"/>
            </w:pPr>
          </w:p>
          <w:p w14:paraId="10EACB6F" w14:textId="77777777" w:rsidR="00422F60" w:rsidRDefault="00422F60" w:rsidP="00422F60">
            <w:pPr>
              <w:pStyle w:val="NoSpacing"/>
              <w:rPr>
                <w:b/>
              </w:rPr>
            </w:pPr>
            <w:r w:rsidRPr="00422F60">
              <w:rPr>
                <w:b/>
              </w:rPr>
              <w:t>Benchmark Review Standards</w:t>
            </w:r>
            <w:r>
              <w:rPr>
                <w:b/>
              </w:rPr>
              <w:t>:</w:t>
            </w:r>
          </w:p>
          <w:p w14:paraId="297533F1" w14:textId="77777777" w:rsidR="00422F60" w:rsidRDefault="00422F60" w:rsidP="00422F60">
            <w:pPr>
              <w:pStyle w:val="NoSpacing"/>
              <w:rPr>
                <w:b/>
              </w:rPr>
            </w:pPr>
            <w:r>
              <w:rPr>
                <w:b/>
              </w:rPr>
              <w:t>Student reflections of the semester and introduction to the next semester’s information.</w:t>
            </w:r>
            <w:r w:rsidR="007E523B">
              <w:rPr>
                <w:b/>
              </w:rPr>
              <w:t xml:space="preserve"> </w:t>
            </w:r>
          </w:p>
          <w:p w14:paraId="2F1C9DAD" w14:textId="77777777" w:rsidR="00657FDA" w:rsidRDefault="00657FDA" w:rsidP="00422F60">
            <w:pPr>
              <w:pStyle w:val="NoSpacing"/>
              <w:rPr>
                <w:b/>
              </w:rPr>
            </w:pPr>
          </w:p>
          <w:p w14:paraId="425E4A6C" w14:textId="77777777" w:rsidR="00657FDA" w:rsidRPr="00657FDA" w:rsidRDefault="00657FDA" w:rsidP="00657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 w:val="20"/>
              </w:rPr>
            </w:pPr>
            <w:r w:rsidRPr="00657FDA">
              <w:rPr>
                <w:rFonts w:cs="Times"/>
                <w:b/>
                <w:color w:val="000000"/>
                <w:sz w:val="20"/>
              </w:rPr>
              <w:t>SS8CG5 The student will analyze the role of local governments in the state of Georgia.</w:t>
            </w:r>
          </w:p>
          <w:p w14:paraId="3659FC28" w14:textId="77777777" w:rsidR="00657FDA" w:rsidRPr="00512BC1" w:rsidRDefault="00657FDA" w:rsidP="000A0EA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657FDA">
              <w:rPr>
                <w:color w:val="000000"/>
                <w:sz w:val="20"/>
              </w:rPr>
              <w:t>Explain the</w:t>
            </w:r>
            <w:r w:rsidRPr="00512BC1">
              <w:rPr>
                <w:color w:val="000000"/>
                <w:sz w:val="20"/>
              </w:rPr>
              <w:t xml:space="preserve"> origins, functions, purposes, and differences of county and city governments in Georgia.</w:t>
            </w:r>
          </w:p>
          <w:p w14:paraId="352B6C17" w14:textId="77777777" w:rsidR="00657FDA" w:rsidRPr="00512BC1" w:rsidRDefault="00657FDA" w:rsidP="000A0EA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Compare and contrast the weak mayor-council, the strong mayor-council, and the council- manager forms of city government</w:t>
            </w:r>
          </w:p>
          <w:p w14:paraId="5DDE74DD" w14:textId="77777777" w:rsidR="00657FDA" w:rsidRPr="00512BC1" w:rsidRDefault="00657FDA" w:rsidP="000A0EA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 xml:space="preserve">Describe the functions of special-purpose governments. </w:t>
            </w:r>
          </w:p>
          <w:p w14:paraId="3A361934" w14:textId="77777777" w:rsidR="00657FDA" w:rsidRDefault="00657FDA" w:rsidP="000A0EA4">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Evaluate the role of local government working with state agencies to administer state programs.</w:t>
            </w:r>
          </w:p>
          <w:p w14:paraId="2E6C816C" w14:textId="77777777" w:rsidR="00657FDA" w:rsidRPr="00512BC1" w:rsidRDefault="00657FDA" w:rsidP="00657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p>
          <w:p w14:paraId="4871AE57" w14:textId="77777777" w:rsidR="00657FDA" w:rsidRPr="00657FDA" w:rsidRDefault="00657FDA" w:rsidP="00657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 w:val="20"/>
              </w:rPr>
            </w:pPr>
            <w:r w:rsidRPr="00657FDA">
              <w:rPr>
                <w:rFonts w:cs="Times"/>
                <w:b/>
                <w:color w:val="000000"/>
                <w:sz w:val="20"/>
              </w:rPr>
              <w:t>S8CG6 The student will explain how the Georgia court system treats juvenile offenders.</w:t>
            </w:r>
          </w:p>
          <w:p w14:paraId="4C3A2043" w14:textId="77777777" w:rsidR="00657FDA" w:rsidRPr="00512BC1" w:rsidRDefault="00657FDA" w:rsidP="000A0EA4">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Explain the difference between delinquent behavior and unruly behavior and the consequences of each</w:t>
            </w:r>
          </w:p>
          <w:p w14:paraId="6CF49051" w14:textId="77777777" w:rsidR="00657FDA" w:rsidRPr="00512BC1" w:rsidRDefault="00657FDA" w:rsidP="000A0EA4">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 xml:space="preserve">Describe the rights of juveniles when taken into custody. </w:t>
            </w:r>
          </w:p>
          <w:p w14:paraId="7D51556E" w14:textId="77777777" w:rsidR="00657FDA" w:rsidRPr="00512BC1" w:rsidRDefault="00657FDA" w:rsidP="000A0EA4">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rPr>
            </w:pPr>
            <w:r w:rsidRPr="00512BC1">
              <w:rPr>
                <w:color w:val="000000"/>
                <w:sz w:val="20"/>
              </w:rPr>
              <w:t xml:space="preserve">Describe the juvenile justice system, emphasizing the different jurisdictions, terminology, and steps in the juvenile justice process. </w:t>
            </w:r>
          </w:p>
          <w:p w14:paraId="11CAEC79" w14:textId="34474D48" w:rsidR="00657FDA" w:rsidRPr="00422F60" w:rsidRDefault="00657FDA" w:rsidP="00657FDA">
            <w:pPr>
              <w:pStyle w:val="NoSpacing"/>
              <w:rPr>
                <w:b/>
              </w:rPr>
            </w:pPr>
            <w:r w:rsidRPr="00512BC1">
              <w:rPr>
                <w:color w:val="000000"/>
                <w:sz w:val="20"/>
              </w:rPr>
              <w:t>Explain the seven delinquent behaviors that can subject juvenile offenders to the adult criminal process, how the decision to transfer to adult court is made, and the possible consequences.</w:t>
            </w:r>
          </w:p>
        </w:tc>
        <w:tc>
          <w:tcPr>
            <w:tcW w:w="4500" w:type="dxa"/>
          </w:tcPr>
          <w:p w14:paraId="28DE0C77" w14:textId="57926511" w:rsidR="00987306" w:rsidRDefault="00B23E33" w:rsidP="00C50927">
            <w:pPr>
              <w:rPr>
                <w:rFonts w:ascii="Arial Narrow" w:hAnsi="Arial Narrow"/>
                <w:bCs/>
                <w:i/>
                <w:sz w:val="16"/>
                <w:szCs w:val="16"/>
              </w:rPr>
            </w:pPr>
            <w:r>
              <w:rPr>
                <w:rFonts w:ascii="Arial Narrow" w:hAnsi="Arial Narrow"/>
                <w:bCs/>
                <w:i/>
                <w:sz w:val="16"/>
                <w:szCs w:val="16"/>
              </w:rPr>
              <w:t xml:space="preserve"> </w:t>
            </w:r>
            <w:r w:rsidR="007E523B">
              <w:rPr>
                <w:rFonts w:ascii="Arial Narrow" w:hAnsi="Arial Narrow"/>
                <w:bCs/>
                <w:i/>
                <w:sz w:val="16"/>
                <w:szCs w:val="16"/>
              </w:rPr>
              <w:t>Week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00839735" w14:textId="77777777" w:rsidR="00266A0D" w:rsidRPr="003350EE" w:rsidRDefault="00266A0D" w:rsidP="00266A0D">
            <w:pPr>
              <w:pStyle w:val="Default"/>
              <w:rPr>
                <w:rFonts w:ascii="Calibri" w:hAnsi="Calibri"/>
                <w:b/>
                <w:color w:val="auto"/>
                <w:sz w:val="22"/>
                <w:szCs w:val="22"/>
              </w:rPr>
            </w:pPr>
            <w:r>
              <w:rPr>
                <w:rFonts w:ascii="Calibri" w:hAnsi="Calibri"/>
                <w:b/>
                <w:sz w:val="22"/>
                <w:szCs w:val="22"/>
              </w:rPr>
              <w:t>EU/EQ</w:t>
            </w:r>
            <w:r>
              <w:rPr>
                <w:rFonts w:ascii="Calibri" w:hAnsi="Calibri"/>
                <w:b/>
                <w:bCs/>
                <w:sz w:val="22"/>
                <w:szCs w:val="22"/>
              </w:rPr>
              <w:t xml:space="preserve">- </w:t>
            </w:r>
            <w:r w:rsidRPr="003350EE">
              <w:rPr>
                <w:rFonts w:ascii="Calibri" w:hAnsi="Calibri"/>
                <w:b/>
                <w:color w:val="auto"/>
                <w:sz w:val="22"/>
                <w:szCs w:val="22"/>
              </w:rPr>
              <w:t xml:space="preserve">Rule of Law: </w:t>
            </w:r>
            <w:r>
              <w:rPr>
                <w:rFonts w:ascii="Calibri" w:hAnsi="Calibri"/>
                <w:b/>
                <w:bCs/>
                <w:sz w:val="22"/>
                <w:szCs w:val="22"/>
              </w:rPr>
              <w:t>The student will understand that</w:t>
            </w:r>
            <w:r w:rsidRPr="003350EE">
              <w:rPr>
                <w:rFonts w:ascii="Calibri" w:hAnsi="Calibri"/>
                <w:b/>
                <w:color w:val="auto"/>
                <w:sz w:val="22"/>
                <w:szCs w:val="22"/>
              </w:rPr>
              <w:t xml:space="preserve"> </w:t>
            </w:r>
            <w:r>
              <w:rPr>
                <w:rFonts w:ascii="Calibri" w:hAnsi="Calibri"/>
                <w:b/>
                <w:color w:val="auto"/>
                <w:sz w:val="22"/>
                <w:szCs w:val="22"/>
              </w:rPr>
              <w:t>i</w:t>
            </w:r>
            <w:r w:rsidRPr="003350EE">
              <w:rPr>
                <w:rFonts w:ascii="Calibri" w:hAnsi="Calibri"/>
                <w:b/>
                <w:color w:val="auto"/>
                <w:sz w:val="22"/>
                <w:szCs w:val="22"/>
              </w:rPr>
              <w:t xml:space="preserve">n a democracy, </w:t>
            </w:r>
            <w:r w:rsidRPr="0067099C">
              <w:rPr>
                <w:rFonts w:ascii="Calibri" w:hAnsi="Calibri"/>
                <w:b/>
                <w:color w:val="FF0000"/>
                <w:sz w:val="22"/>
                <w:szCs w:val="22"/>
              </w:rPr>
              <w:t>rule of law</w:t>
            </w:r>
            <w:r w:rsidRPr="003350EE">
              <w:rPr>
                <w:rFonts w:ascii="Calibri" w:hAnsi="Calibri"/>
                <w:b/>
                <w:color w:val="auto"/>
                <w:sz w:val="22"/>
                <w:szCs w:val="22"/>
              </w:rPr>
              <w:t xml:space="preserve"> influences the behavior of citizens, establishes procedures for making policies, and limits the power of government.</w:t>
            </w:r>
          </w:p>
          <w:p w14:paraId="534C7923" w14:textId="77777777" w:rsidR="00266A0D" w:rsidRPr="003350EE" w:rsidRDefault="00266A0D" w:rsidP="000A0EA4">
            <w:pPr>
              <w:numPr>
                <w:ilvl w:val="0"/>
                <w:numId w:val="7"/>
              </w:numPr>
              <w:ind w:left="252" w:hanging="252"/>
            </w:pPr>
            <w:r w:rsidRPr="003350EE">
              <w:t xml:space="preserve">How does Georgia’s judicial system provide justice and protect the rights of its citizens? </w:t>
            </w:r>
            <w:r w:rsidRPr="003350EE">
              <w:br/>
              <w:t>(CG4)</w:t>
            </w:r>
          </w:p>
          <w:p w14:paraId="37D005FD" w14:textId="77777777" w:rsidR="00266A0D" w:rsidRPr="003350EE" w:rsidRDefault="00266A0D" w:rsidP="000A0EA4">
            <w:pPr>
              <w:numPr>
                <w:ilvl w:val="0"/>
                <w:numId w:val="7"/>
              </w:numPr>
              <w:ind w:left="252" w:hanging="252"/>
            </w:pPr>
            <w:r w:rsidRPr="003350EE">
              <w:t>How do judges get their job?</w:t>
            </w:r>
            <w:r>
              <w:t xml:space="preserve"> (CG4a)</w:t>
            </w:r>
          </w:p>
          <w:p w14:paraId="42828AC9" w14:textId="77777777" w:rsidR="00266A0D" w:rsidRPr="003350EE" w:rsidRDefault="00266A0D" w:rsidP="000A0EA4">
            <w:pPr>
              <w:numPr>
                <w:ilvl w:val="0"/>
                <w:numId w:val="7"/>
              </w:numPr>
              <w:ind w:left="252" w:hanging="252"/>
            </w:pPr>
            <w:r w:rsidRPr="003350EE">
              <w:t xml:space="preserve">What is the structure of the judicial branch of Georgia government? (CG4a) </w:t>
            </w:r>
          </w:p>
          <w:p w14:paraId="25130CA0" w14:textId="77777777" w:rsidR="00266A0D" w:rsidRPr="003350EE" w:rsidRDefault="00266A0D" w:rsidP="000A0EA4">
            <w:pPr>
              <w:numPr>
                <w:ilvl w:val="0"/>
                <w:numId w:val="7"/>
              </w:numPr>
              <w:ind w:left="252" w:hanging="252"/>
            </w:pPr>
            <w:r w:rsidRPr="003350EE">
              <w:t>What is the difference between a criminal law and a civil law? (CG4b</w:t>
            </w:r>
            <w:r w:rsidRPr="003350EE">
              <w:rPr>
                <w:b/>
                <w:bCs/>
              </w:rPr>
              <w:t xml:space="preserve">) </w:t>
            </w:r>
          </w:p>
          <w:p w14:paraId="66D8142A" w14:textId="77777777" w:rsidR="00266A0D" w:rsidRPr="003350EE" w:rsidRDefault="00266A0D" w:rsidP="000A0EA4">
            <w:pPr>
              <w:numPr>
                <w:ilvl w:val="0"/>
                <w:numId w:val="7"/>
              </w:numPr>
              <w:ind w:left="252" w:hanging="252"/>
            </w:pPr>
            <w:r>
              <w:rPr>
                <w:bCs/>
              </w:rPr>
              <w:t>How might conflicts be peacefully resolved</w:t>
            </w:r>
            <w:r w:rsidRPr="003350EE">
              <w:rPr>
                <w:bCs/>
              </w:rPr>
              <w:t>? (CG4d)</w:t>
            </w:r>
          </w:p>
          <w:p w14:paraId="0A8A7863" w14:textId="77777777" w:rsidR="00266A0D" w:rsidRDefault="00266A0D" w:rsidP="000A0EA4">
            <w:pPr>
              <w:numPr>
                <w:ilvl w:val="0"/>
                <w:numId w:val="7"/>
              </w:numPr>
              <w:ind w:left="252" w:hanging="252"/>
            </w:pPr>
            <w:r w:rsidRPr="003350EE">
              <w:t>How is an adult processed through the criminal justice system?</w:t>
            </w:r>
          </w:p>
          <w:p w14:paraId="46F90215" w14:textId="77777777" w:rsidR="006B2C6E" w:rsidRDefault="006B2C6E" w:rsidP="006B2C6E"/>
          <w:p w14:paraId="7D391B5E" w14:textId="28E234F5" w:rsidR="00266A0D" w:rsidRPr="003350EE" w:rsidRDefault="006B2C6E" w:rsidP="006B2C6E">
            <w:pPr>
              <w:rPr>
                <w:rFonts w:ascii="Calibri" w:hAnsi="Calibri"/>
                <w:sz w:val="22"/>
                <w:szCs w:val="22"/>
              </w:rPr>
            </w:pPr>
            <w:r>
              <w:t>Vocabulary:</w:t>
            </w:r>
          </w:p>
          <w:p w14:paraId="0A2605D4" w14:textId="77777777" w:rsidR="006B2C6E" w:rsidRPr="003350EE" w:rsidRDefault="006B2C6E" w:rsidP="000A0EA4">
            <w:pPr>
              <w:pStyle w:val="NoSpacing"/>
              <w:numPr>
                <w:ilvl w:val="0"/>
                <w:numId w:val="8"/>
              </w:numPr>
              <w:ind w:left="252" w:hanging="252"/>
            </w:pPr>
            <w:r w:rsidRPr="003350EE">
              <w:t xml:space="preserve">litigate </w:t>
            </w:r>
          </w:p>
          <w:p w14:paraId="6FBA4298" w14:textId="77777777" w:rsidR="006B2C6E" w:rsidRDefault="006B2C6E" w:rsidP="000A0EA4">
            <w:pPr>
              <w:pStyle w:val="NoSpacing"/>
              <w:numPr>
                <w:ilvl w:val="0"/>
                <w:numId w:val="8"/>
              </w:numPr>
              <w:ind w:left="252" w:hanging="252"/>
            </w:pPr>
            <w:r w:rsidRPr="003350EE">
              <w:t xml:space="preserve">civil </w:t>
            </w:r>
            <w:r>
              <w:t>law</w:t>
            </w:r>
          </w:p>
          <w:p w14:paraId="5799C458" w14:textId="77777777" w:rsidR="006B2C6E" w:rsidRDefault="006B2C6E" w:rsidP="000A0EA4">
            <w:pPr>
              <w:pStyle w:val="NoSpacing"/>
              <w:numPr>
                <w:ilvl w:val="0"/>
                <w:numId w:val="8"/>
              </w:numPr>
              <w:ind w:left="252" w:hanging="252"/>
            </w:pPr>
            <w:r>
              <w:t>criminal law</w:t>
            </w:r>
          </w:p>
          <w:p w14:paraId="410E3903" w14:textId="77777777" w:rsidR="006B2C6E" w:rsidRDefault="006B2C6E" w:rsidP="000A0EA4">
            <w:pPr>
              <w:pStyle w:val="NoSpacing"/>
              <w:numPr>
                <w:ilvl w:val="0"/>
                <w:numId w:val="8"/>
              </w:numPr>
              <w:ind w:left="252" w:hanging="252"/>
            </w:pPr>
            <w:r>
              <w:t>defendant</w:t>
            </w:r>
          </w:p>
          <w:p w14:paraId="59AE0826" w14:textId="77777777" w:rsidR="006B2C6E" w:rsidRPr="003350EE" w:rsidRDefault="006B2C6E" w:rsidP="000A0EA4">
            <w:pPr>
              <w:pStyle w:val="NoSpacing"/>
              <w:numPr>
                <w:ilvl w:val="0"/>
                <w:numId w:val="8"/>
              </w:numPr>
              <w:ind w:left="252" w:hanging="252"/>
            </w:pPr>
            <w:r>
              <w:t>capital crime</w:t>
            </w:r>
          </w:p>
          <w:p w14:paraId="047B6E67" w14:textId="77777777" w:rsidR="006B2C6E" w:rsidRPr="003350EE" w:rsidRDefault="006B2C6E" w:rsidP="000A0EA4">
            <w:pPr>
              <w:pStyle w:val="NoSpacing"/>
              <w:numPr>
                <w:ilvl w:val="0"/>
                <w:numId w:val="8"/>
              </w:numPr>
              <w:ind w:left="252" w:hanging="252"/>
            </w:pPr>
            <w:r w:rsidRPr="003350EE">
              <w:t xml:space="preserve">grand jury  </w:t>
            </w:r>
          </w:p>
          <w:p w14:paraId="0E471BAB" w14:textId="77777777" w:rsidR="006B2C6E" w:rsidRPr="003350EE" w:rsidRDefault="006B2C6E" w:rsidP="000A0EA4">
            <w:pPr>
              <w:pStyle w:val="NoSpacing"/>
              <w:numPr>
                <w:ilvl w:val="0"/>
                <w:numId w:val="8"/>
              </w:numPr>
              <w:ind w:left="252" w:hanging="252"/>
            </w:pPr>
            <w:r w:rsidRPr="003350EE">
              <w:t xml:space="preserve">due process  </w:t>
            </w:r>
          </w:p>
          <w:p w14:paraId="58FD3614" w14:textId="77777777" w:rsidR="006B2C6E" w:rsidRPr="003350EE" w:rsidRDefault="006B2C6E" w:rsidP="000A0EA4">
            <w:pPr>
              <w:pStyle w:val="NoSpacing"/>
              <w:numPr>
                <w:ilvl w:val="0"/>
                <w:numId w:val="8"/>
              </w:numPr>
              <w:ind w:left="252" w:hanging="252"/>
            </w:pPr>
            <w:r w:rsidRPr="003350EE">
              <w:t xml:space="preserve">interpret the </w:t>
            </w:r>
          </w:p>
          <w:p w14:paraId="051077A2" w14:textId="77777777" w:rsidR="006B2C6E" w:rsidRPr="003350EE" w:rsidRDefault="006B2C6E" w:rsidP="006B2C6E">
            <w:pPr>
              <w:pStyle w:val="NoSpacing"/>
              <w:ind w:left="252" w:hanging="252"/>
            </w:pPr>
            <w:r w:rsidRPr="003350EE">
              <w:t xml:space="preserve">     laws </w:t>
            </w:r>
          </w:p>
          <w:p w14:paraId="63CA3793" w14:textId="77777777" w:rsidR="006B2C6E" w:rsidRPr="003350EE" w:rsidRDefault="006B2C6E" w:rsidP="000A0EA4">
            <w:pPr>
              <w:pStyle w:val="NoSpacing"/>
              <w:numPr>
                <w:ilvl w:val="0"/>
                <w:numId w:val="8"/>
              </w:numPr>
              <w:ind w:left="252" w:hanging="252"/>
            </w:pPr>
            <w:r w:rsidRPr="003350EE">
              <w:t xml:space="preserve">misdemeanor </w:t>
            </w:r>
          </w:p>
          <w:p w14:paraId="5FC2E54E" w14:textId="77777777" w:rsidR="006B2C6E" w:rsidRDefault="006B2C6E" w:rsidP="000A0EA4">
            <w:pPr>
              <w:pStyle w:val="NoSpacing"/>
              <w:numPr>
                <w:ilvl w:val="0"/>
                <w:numId w:val="8"/>
              </w:numPr>
              <w:ind w:left="252" w:hanging="252"/>
            </w:pPr>
            <w:r w:rsidRPr="003350EE">
              <w:t>felony</w:t>
            </w:r>
          </w:p>
          <w:p w14:paraId="52E3D88C" w14:textId="77777777" w:rsidR="006B2C6E" w:rsidRDefault="006B2C6E" w:rsidP="000A0EA4">
            <w:pPr>
              <w:pStyle w:val="NoSpacing"/>
              <w:numPr>
                <w:ilvl w:val="0"/>
                <w:numId w:val="8"/>
              </w:numPr>
              <w:ind w:left="252" w:hanging="252"/>
            </w:pPr>
            <w:r>
              <w:t>criminal Justice Process</w:t>
            </w:r>
          </w:p>
          <w:p w14:paraId="09F74C54" w14:textId="77777777" w:rsidR="006B2C6E" w:rsidRDefault="006B2C6E" w:rsidP="000A0EA4">
            <w:pPr>
              <w:pStyle w:val="NoSpacing"/>
              <w:numPr>
                <w:ilvl w:val="0"/>
                <w:numId w:val="8"/>
              </w:numPr>
              <w:ind w:left="252" w:hanging="252"/>
            </w:pPr>
            <w:r>
              <w:t>arrest</w:t>
            </w:r>
          </w:p>
          <w:p w14:paraId="5D5D9969" w14:textId="77777777" w:rsidR="007E523B" w:rsidRDefault="006B2C6E" w:rsidP="000A0EA4">
            <w:pPr>
              <w:pStyle w:val="NoSpacing"/>
              <w:numPr>
                <w:ilvl w:val="0"/>
                <w:numId w:val="8"/>
              </w:numPr>
              <w:ind w:left="252" w:hanging="252"/>
            </w:pPr>
            <w:r>
              <w:t>booking</w:t>
            </w:r>
          </w:p>
          <w:p w14:paraId="0D250F9E" w14:textId="4410611B" w:rsidR="004A399B" w:rsidRPr="007E523B" w:rsidRDefault="007E523B" w:rsidP="000A0EA4">
            <w:pPr>
              <w:pStyle w:val="NoSpacing"/>
              <w:numPr>
                <w:ilvl w:val="0"/>
                <w:numId w:val="8"/>
              </w:numPr>
              <w:ind w:left="252" w:hanging="252"/>
            </w:pPr>
            <w:r>
              <w:t>s</w:t>
            </w:r>
            <w:r w:rsidR="006B2C6E">
              <w:t>uspect</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lastRenderedPageBreak/>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657FDA">
        <w:trPr>
          <w:trHeight w:val="1277"/>
        </w:trPr>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356D39F7"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657FDA">
              <w:rPr>
                <w:rFonts w:ascii="Arial Narrow" w:hAnsi="Arial Narrow"/>
                <w:i/>
                <w:sz w:val="16"/>
                <w:szCs w:val="16"/>
              </w:rPr>
              <w:t>No School</w:t>
            </w:r>
            <w:r w:rsidR="00422F60">
              <w:rPr>
                <w:rFonts w:ascii="Arial Narrow" w:hAnsi="Arial Narrow"/>
                <w:i/>
                <w:sz w:val="16"/>
                <w:szCs w:val="16"/>
              </w:rPr>
              <w:t xml:space="preserve"> </w:t>
            </w:r>
          </w:p>
          <w:p w14:paraId="6B37222E" w14:textId="674C3BED"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657FDA">
              <w:rPr>
                <w:rFonts w:ascii="Arial Narrow" w:hAnsi="Arial Narrow"/>
                <w:i/>
                <w:sz w:val="16"/>
                <w:szCs w:val="16"/>
              </w:rPr>
              <w:t>DBQ and Judicial System review questions and vocabulary (CG4)</w:t>
            </w:r>
          </w:p>
          <w:p w14:paraId="53689E2C" w14:textId="72A3F03A"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sidR="00657FDA">
              <w:rPr>
                <w:rFonts w:ascii="Arial Narrow" w:hAnsi="Arial Narrow"/>
                <w:i/>
                <w:sz w:val="16"/>
                <w:szCs w:val="16"/>
              </w:rPr>
              <w:t>DBQ and County and City Government questions and vocabulary (CG5)</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2A5F6987" w14:textId="415A77E4"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657FDA">
              <w:rPr>
                <w:rFonts w:ascii="Arial Narrow" w:hAnsi="Arial Narrow"/>
                <w:i/>
                <w:sz w:val="16"/>
                <w:szCs w:val="16"/>
              </w:rPr>
              <w:t>No School</w:t>
            </w:r>
            <w:r>
              <w:rPr>
                <w:rFonts w:ascii="Arial Narrow" w:hAnsi="Arial Narrow"/>
                <w:i/>
                <w:sz w:val="16"/>
                <w:szCs w:val="16"/>
              </w:rPr>
              <w:t xml:space="preserve"> </w:t>
            </w:r>
          </w:p>
          <w:p w14:paraId="29602282" w14:textId="1AF06AF3"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DB5967">
              <w:rPr>
                <w:rFonts w:ascii="Arial Narrow" w:hAnsi="Arial Narrow"/>
                <w:i/>
                <w:sz w:val="16"/>
                <w:szCs w:val="16"/>
              </w:rPr>
              <w:t>Continue working on DBQ’s and SS8CG5</w:t>
            </w:r>
          </w:p>
          <w:p w14:paraId="68188D1F" w14:textId="29549413"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sidR="00DB5967">
              <w:rPr>
                <w:rFonts w:ascii="Arial Narrow" w:hAnsi="Arial Narrow"/>
                <w:i/>
                <w:sz w:val="16"/>
                <w:szCs w:val="16"/>
              </w:rPr>
              <w:t>Continue working on DBQ’s and benchmark analysis review</w:t>
            </w:r>
          </w:p>
          <w:p w14:paraId="453C55DC" w14:textId="677C65EF" w:rsidR="00304C85" w:rsidRPr="001F65E6" w:rsidRDefault="00304C85" w:rsidP="00304C85">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519BAA98" w14:textId="77777777" w:rsidR="00DB5967" w:rsidRDefault="00DB5967" w:rsidP="00C50927">
            <w:pPr>
              <w:rPr>
                <w:rFonts w:ascii="Arial Narrow" w:hAnsi="Arial Narrow"/>
                <w:b/>
                <w:sz w:val="18"/>
              </w:rPr>
            </w:pPr>
            <w:r>
              <w:rPr>
                <w:rFonts w:ascii="Arial Narrow" w:hAnsi="Arial Narrow"/>
                <w:b/>
                <w:sz w:val="18"/>
              </w:rPr>
              <w:t>Essential Questions and CRCT prep questions</w:t>
            </w:r>
          </w:p>
          <w:p w14:paraId="1A80BB82" w14:textId="77777777" w:rsidR="00DB5967" w:rsidRDefault="00DB5967" w:rsidP="00C50927">
            <w:pPr>
              <w:rPr>
                <w:rFonts w:ascii="Arial Narrow" w:hAnsi="Arial Narrow"/>
                <w:b/>
                <w:sz w:val="18"/>
              </w:rPr>
            </w:pPr>
          </w:p>
          <w:p w14:paraId="767FB25E" w14:textId="57A61AEE" w:rsidR="006A07F9" w:rsidRPr="00DC16BE" w:rsidRDefault="00DB5967" w:rsidP="00C50927">
            <w:pPr>
              <w:rPr>
                <w:rFonts w:ascii="Arial Narrow" w:hAnsi="Arial Narrow"/>
                <w:b/>
                <w:sz w:val="18"/>
              </w:rPr>
            </w:pPr>
            <w:r>
              <w:rPr>
                <w:rFonts w:ascii="Arial Narrow" w:hAnsi="Arial Narrow"/>
                <w:b/>
                <w:sz w:val="18"/>
              </w:rPr>
              <w:t xml:space="preserve">Students will also complete mini activities like think pair shares and partner work. </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5BEC7CE8"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DF47D6C" w14:textId="77777777" w:rsidR="00422F60" w:rsidRPr="00E81B93" w:rsidRDefault="00422F60" w:rsidP="00C50927">
            <w:pPr>
              <w:rPr>
                <w:i/>
              </w:rPr>
            </w:pPr>
          </w:p>
          <w:p w14:paraId="00BB0F0C" w14:textId="77777777" w:rsidR="00DB5967" w:rsidRDefault="00DB5967" w:rsidP="00DB5967">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-No School </w:t>
            </w:r>
          </w:p>
          <w:p w14:paraId="233CFF6D" w14:textId="77777777" w:rsidR="00DB5967" w:rsidRDefault="00DB5967" w:rsidP="00DB5967">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and SS8CG5</w:t>
            </w:r>
          </w:p>
          <w:p w14:paraId="761FB7AF" w14:textId="39D6BE08" w:rsidR="00DB5967" w:rsidRDefault="00DB5967" w:rsidP="00DB5967">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Continue working on DBQ’s and benchmark an</w:t>
            </w:r>
            <w:r>
              <w:rPr>
                <w:rFonts w:ascii="Arial Narrow" w:hAnsi="Arial Narrow"/>
                <w:i/>
                <w:sz w:val="16"/>
                <w:szCs w:val="16"/>
              </w:rPr>
              <w:t>alysis review</w:t>
            </w:r>
          </w:p>
          <w:p w14:paraId="7E45081A" w14:textId="05598B5E" w:rsidR="00DB5967" w:rsidRDefault="00DB5967" w:rsidP="00DB5967">
            <w:pPr>
              <w:rPr>
                <w:rFonts w:ascii="Arial Narrow" w:hAnsi="Arial Narrow"/>
                <w:i/>
                <w:sz w:val="16"/>
                <w:szCs w:val="16"/>
              </w:rPr>
            </w:pPr>
            <w:r>
              <w:rPr>
                <w:rFonts w:ascii="Arial Narrow" w:hAnsi="Arial Narrow"/>
                <w:i/>
                <w:sz w:val="16"/>
                <w:szCs w:val="16"/>
              </w:rPr>
              <w:t>Students will complete assignments and activities for whole group based on standard and benchmark review</w:t>
            </w:r>
          </w:p>
          <w:p w14:paraId="7ACA8AA0" w14:textId="6737FE9F" w:rsidR="009B3BE7" w:rsidRPr="00697415" w:rsidRDefault="009B3BE7" w:rsidP="00AC5F5B">
            <w:pPr>
              <w:pStyle w:val="Default"/>
              <w:rPr>
                <w:rFonts w:ascii="Calibri" w:hAnsi="Calibri"/>
                <w:sz w:val="22"/>
                <w:szCs w:val="22"/>
              </w:rPr>
            </w:pPr>
          </w:p>
        </w:tc>
        <w:tc>
          <w:tcPr>
            <w:tcW w:w="2430" w:type="dxa"/>
          </w:tcPr>
          <w:p w14:paraId="04034105" w14:textId="77777777" w:rsidR="00DB5967" w:rsidRDefault="00DB5967" w:rsidP="00DB5967">
            <w:pPr>
              <w:rPr>
                <w:rFonts w:ascii="Arial Narrow" w:hAnsi="Arial Narrow"/>
                <w:b/>
                <w:sz w:val="18"/>
              </w:rPr>
            </w:pPr>
            <w:r>
              <w:rPr>
                <w:rFonts w:ascii="Arial Narrow" w:hAnsi="Arial Narrow"/>
                <w:b/>
                <w:sz w:val="18"/>
              </w:rPr>
              <w:t>Essential Questions and CRCT prep questions</w:t>
            </w:r>
          </w:p>
          <w:p w14:paraId="0BE221AE" w14:textId="77777777" w:rsidR="00DB5967" w:rsidRDefault="00DB5967" w:rsidP="00DB5967">
            <w:pPr>
              <w:rPr>
                <w:rFonts w:ascii="Arial Narrow" w:hAnsi="Arial Narrow"/>
                <w:b/>
                <w:sz w:val="18"/>
              </w:rPr>
            </w:pPr>
          </w:p>
          <w:p w14:paraId="5F5BA06B" w14:textId="7D32C0E9" w:rsidR="00414FA5" w:rsidRDefault="00DB5967" w:rsidP="00DB5967">
            <w:pPr>
              <w:rPr>
                <w:rFonts w:ascii="Arial Narrow" w:hAnsi="Arial Narrow"/>
                <w:b/>
                <w:sz w:val="18"/>
              </w:rPr>
            </w:pPr>
            <w:r>
              <w:rPr>
                <w:rFonts w:ascii="Arial Narrow" w:hAnsi="Arial Narrow"/>
                <w:b/>
                <w:sz w:val="18"/>
              </w:rPr>
              <w:t xml:space="preserve">Students will also complete mini activities like think pair shares and partner work.  </w:t>
            </w:r>
          </w:p>
        </w:tc>
      </w:tr>
      <w:tr w:rsidR="00987306" w14:paraId="6CA7F30A" w14:textId="77777777" w:rsidTr="00865D01">
        <w:tc>
          <w:tcPr>
            <w:tcW w:w="884" w:type="dxa"/>
            <w:vAlign w:val="center"/>
          </w:tcPr>
          <w:p w14:paraId="44B77DFF" w14:textId="3954CD6C"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A31BCFE" w14:textId="77777777" w:rsidR="00DB5967" w:rsidRDefault="00DB5967" w:rsidP="00DB5967">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-No School </w:t>
            </w:r>
          </w:p>
          <w:p w14:paraId="412C3F41" w14:textId="77777777" w:rsidR="00DB5967" w:rsidRDefault="00DB5967" w:rsidP="00DB5967">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and SS8CG5</w:t>
            </w:r>
          </w:p>
          <w:p w14:paraId="5983786E" w14:textId="77777777" w:rsidR="00DB5967" w:rsidRDefault="00DB5967" w:rsidP="00DB5967">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Continue working on DBQ’s and benchmark analysis review</w:t>
            </w:r>
          </w:p>
          <w:p w14:paraId="23AFE94E" w14:textId="27DBC800" w:rsidR="00DB5967" w:rsidRDefault="00DB5967" w:rsidP="00DB5967">
            <w:pPr>
              <w:rPr>
                <w:rFonts w:ascii="Arial Narrow" w:hAnsi="Arial Narrow"/>
                <w:i/>
                <w:sz w:val="16"/>
                <w:szCs w:val="16"/>
              </w:rPr>
            </w:pPr>
            <w:r>
              <w:rPr>
                <w:rFonts w:ascii="Arial Narrow" w:hAnsi="Arial Narrow"/>
                <w:i/>
                <w:sz w:val="16"/>
                <w:szCs w:val="16"/>
              </w:rPr>
              <w:t xml:space="preserve">Students will complete assignments and activities </w:t>
            </w:r>
            <w:r>
              <w:rPr>
                <w:rFonts w:ascii="Arial Narrow" w:hAnsi="Arial Narrow"/>
                <w:i/>
                <w:sz w:val="16"/>
                <w:szCs w:val="16"/>
              </w:rPr>
              <w:t>for small</w:t>
            </w:r>
            <w:r>
              <w:rPr>
                <w:rFonts w:ascii="Arial Narrow" w:hAnsi="Arial Narrow"/>
                <w:i/>
                <w:sz w:val="16"/>
                <w:szCs w:val="16"/>
              </w:rPr>
              <w:t xml:space="preserve"> group based on standard and benchmark review</w:t>
            </w:r>
          </w:p>
          <w:p w14:paraId="5E60548F" w14:textId="48D66240" w:rsidR="00865D01" w:rsidRPr="009B3BE7" w:rsidRDefault="00865D01" w:rsidP="008A1793">
            <w:pPr>
              <w:pStyle w:val="NoSpacing"/>
            </w:pPr>
          </w:p>
        </w:tc>
        <w:tc>
          <w:tcPr>
            <w:tcW w:w="2430" w:type="dxa"/>
          </w:tcPr>
          <w:p w14:paraId="1D4BD42F" w14:textId="77777777" w:rsidR="00DB5967" w:rsidRDefault="00DB5967" w:rsidP="00DB5967">
            <w:pPr>
              <w:rPr>
                <w:rFonts w:ascii="Arial Narrow" w:hAnsi="Arial Narrow"/>
                <w:b/>
                <w:sz w:val="18"/>
              </w:rPr>
            </w:pPr>
            <w:r>
              <w:rPr>
                <w:rFonts w:ascii="Arial Narrow" w:hAnsi="Arial Narrow"/>
                <w:b/>
                <w:sz w:val="18"/>
              </w:rPr>
              <w:t>Essential Questions and CRCT prep questions</w:t>
            </w:r>
          </w:p>
          <w:p w14:paraId="0117D669" w14:textId="77777777" w:rsidR="00DB5967" w:rsidRDefault="00DB5967" w:rsidP="00DB5967">
            <w:pPr>
              <w:rPr>
                <w:rFonts w:ascii="Arial Narrow" w:hAnsi="Arial Narrow"/>
                <w:b/>
                <w:sz w:val="18"/>
              </w:rPr>
            </w:pPr>
          </w:p>
          <w:p w14:paraId="39EA5CEC" w14:textId="0A892AA0" w:rsidR="00722519" w:rsidRDefault="00DB5967" w:rsidP="00DB5967">
            <w:pPr>
              <w:rPr>
                <w:rFonts w:ascii="Arial Narrow" w:hAnsi="Arial Narrow"/>
                <w:b/>
                <w:sz w:val="18"/>
              </w:rPr>
            </w:pPr>
            <w:r>
              <w:rPr>
                <w:rFonts w:ascii="Arial Narrow" w:hAnsi="Arial Narrow"/>
                <w:b/>
                <w:sz w:val="18"/>
              </w:rPr>
              <w:t xml:space="preserve">Students will also complete mini activities like think pair shares and partner work.  </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2E962AE8" w14:textId="77777777" w:rsidR="00DB5967" w:rsidRDefault="00DB5967" w:rsidP="00DB5967">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-No School </w:t>
            </w:r>
          </w:p>
          <w:p w14:paraId="51F8CA64" w14:textId="77777777" w:rsidR="00DB5967" w:rsidRDefault="00DB5967" w:rsidP="00DB5967">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and SS8CG5</w:t>
            </w:r>
          </w:p>
          <w:p w14:paraId="50793C70" w14:textId="77777777" w:rsidR="00DB5967" w:rsidRDefault="00DB5967" w:rsidP="00DB5967">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Continue working on DBQ’s and benchmark analysis review</w:t>
            </w:r>
          </w:p>
          <w:p w14:paraId="561073EC" w14:textId="19D36E7C" w:rsidR="00DB5967" w:rsidRDefault="00DB5967" w:rsidP="00DB5967">
            <w:pPr>
              <w:rPr>
                <w:rFonts w:ascii="Arial Narrow" w:hAnsi="Arial Narrow"/>
                <w:i/>
                <w:sz w:val="16"/>
                <w:szCs w:val="16"/>
              </w:rPr>
            </w:pPr>
            <w:r>
              <w:rPr>
                <w:rFonts w:ascii="Arial Narrow" w:hAnsi="Arial Narrow"/>
                <w:i/>
                <w:sz w:val="16"/>
                <w:szCs w:val="16"/>
              </w:rPr>
              <w:t xml:space="preserve">Students will complete assignments and activities </w:t>
            </w:r>
            <w:r>
              <w:rPr>
                <w:rFonts w:ascii="Arial Narrow" w:hAnsi="Arial Narrow"/>
                <w:i/>
                <w:sz w:val="16"/>
                <w:szCs w:val="16"/>
              </w:rPr>
              <w:t>individually</w:t>
            </w:r>
            <w:r>
              <w:rPr>
                <w:rFonts w:ascii="Arial Narrow" w:hAnsi="Arial Narrow"/>
                <w:i/>
                <w:sz w:val="16"/>
                <w:szCs w:val="16"/>
              </w:rPr>
              <w:t xml:space="preserve"> based on standard and benchmark review</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4BD84197" w14:textId="77777777" w:rsidR="00DB5967" w:rsidRDefault="00DB5967" w:rsidP="00DB5967">
            <w:pPr>
              <w:rPr>
                <w:rFonts w:ascii="Arial Narrow" w:hAnsi="Arial Narrow"/>
                <w:b/>
                <w:sz w:val="18"/>
              </w:rPr>
            </w:pPr>
            <w:r>
              <w:rPr>
                <w:rFonts w:ascii="Arial Narrow" w:hAnsi="Arial Narrow"/>
                <w:b/>
                <w:sz w:val="18"/>
              </w:rPr>
              <w:t>Essential Questions and CRCT prep questions</w:t>
            </w:r>
          </w:p>
          <w:p w14:paraId="42590BC8" w14:textId="77777777" w:rsidR="00DB5967" w:rsidRDefault="00DB5967" w:rsidP="00DB5967">
            <w:pPr>
              <w:rPr>
                <w:rFonts w:ascii="Arial Narrow" w:hAnsi="Arial Narrow"/>
                <w:b/>
                <w:sz w:val="18"/>
              </w:rPr>
            </w:pPr>
          </w:p>
          <w:p w14:paraId="39FA10EA" w14:textId="6D25CDE5" w:rsidR="00722519" w:rsidRDefault="00DB5967" w:rsidP="00DB5967">
            <w:pPr>
              <w:rPr>
                <w:rFonts w:ascii="Arial Narrow" w:hAnsi="Arial Narrow"/>
                <w:b/>
                <w:sz w:val="18"/>
              </w:rPr>
            </w:pPr>
            <w:r>
              <w:rPr>
                <w:rFonts w:ascii="Arial Narrow" w:hAnsi="Arial Narrow"/>
                <w:b/>
                <w:sz w:val="18"/>
              </w:rPr>
              <w:t xml:space="preserve">Students will also complete mini activities like think pair shares and partner work.  </w:t>
            </w:r>
            <w:bookmarkStart w:id="0" w:name="_GoBack"/>
            <w:bookmarkEnd w:id="0"/>
          </w:p>
        </w:tc>
      </w:tr>
      <w:tr w:rsidR="00987306" w14:paraId="1B6DBAC3" w14:textId="77777777" w:rsidTr="00865D01">
        <w:tc>
          <w:tcPr>
            <w:tcW w:w="884" w:type="dxa"/>
            <w:vAlign w:val="center"/>
          </w:tcPr>
          <w:p w14:paraId="7BCD92DE" w14:textId="5DB4E576"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55A0A6C" w14:textId="0B348E8E" w:rsidR="00987306" w:rsidRPr="001F65E6" w:rsidRDefault="00DB5967" w:rsidP="00422F60">
            <w:pPr>
              <w:rPr>
                <w:rFonts w:ascii="Arial Narrow" w:hAnsi="Arial Narrow"/>
                <w:sz w:val="16"/>
                <w:szCs w:val="16"/>
              </w:rPr>
            </w:pPr>
            <w:r>
              <w:rPr>
                <w:rFonts w:ascii="Arial Narrow" w:hAnsi="Arial Narrow"/>
                <w:b/>
              </w:rPr>
              <w:t>TOD and DLIQ</w:t>
            </w: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0BB1D0C6" w:rsidR="00671A87" w:rsidRPr="0078318C" w:rsidRDefault="00DB5967" w:rsidP="00C50927">
            <w:pPr>
              <w:rPr>
                <w:rFonts w:ascii="Arial Narrow" w:hAnsi="Arial Narrow"/>
                <w:b/>
                <w:sz w:val="18"/>
              </w:rPr>
            </w:pPr>
            <w:r>
              <w:rPr>
                <w:rFonts w:ascii="Arial Narrow" w:hAnsi="Arial Narrow"/>
                <w:i/>
                <w:sz w:val="16"/>
                <w:szCs w:val="16"/>
              </w:rPr>
              <w:t>TOD and DLIQ</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lastRenderedPageBreak/>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33D9D338" w14:textId="77777777" w:rsidR="00865D01" w:rsidRPr="003B1FF6" w:rsidRDefault="00865D01" w:rsidP="00865D01">
            <w:pPr>
              <w:pStyle w:val="Default"/>
              <w:ind w:left="162" w:hanging="162"/>
              <w:rPr>
                <w:rFonts w:ascii="Calibri" w:hAnsi="Calibri"/>
                <w:sz w:val="22"/>
                <w:szCs w:val="22"/>
              </w:rPr>
            </w:pPr>
            <w:r w:rsidRPr="003B1FF6">
              <w:rPr>
                <w:rFonts w:ascii="Calibri" w:hAnsi="Calibri"/>
                <w:sz w:val="22"/>
                <w:szCs w:val="22"/>
              </w:rPr>
              <w:t>Textbook Correlation:</w:t>
            </w:r>
          </w:p>
          <w:p w14:paraId="7A5EC5DE"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Textbook Correlation:  pp. 544-546</w:t>
            </w:r>
          </w:p>
          <w:p w14:paraId="20D9D388"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 xml:space="preserve"> </w:t>
            </w:r>
          </w:p>
          <w:p w14:paraId="5F94C1E0" w14:textId="77777777" w:rsidR="006B2C6E" w:rsidRPr="006225EE" w:rsidRDefault="006B2C6E" w:rsidP="006B2C6E">
            <w:pPr>
              <w:pStyle w:val="NoSpacing"/>
              <w:rPr>
                <w:rFonts w:cs="Calibri"/>
              </w:rPr>
            </w:pPr>
            <w:r w:rsidRPr="006225EE">
              <w:rPr>
                <w:rFonts w:cs="Calibri"/>
              </w:rPr>
              <w:t>Georgia Stories</w:t>
            </w:r>
          </w:p>
          <w:p w14:paraId="68DE946D" w14:textId="5FBD33BF" w:rsidR="006B2C6E" w:rsidRDefault="000A0EA4" w:rsidP="006B2C6E">
            <w:pPr>
              <w:pStyle w:val="Default"/>
              <w:rPr>
                <w:rFonts w:ascii="Calibri" w:hAnsi="Calibri" w:cs="Calibri"/>
                <w:color w:val="0000FF"/>
                <w:sz w:val="22"/>
                <w:szCs w:val="22"/>
              </w:rPr>
            </w:pPr>
            <w:hyperlink r:id="rId8" w:history="1">
              <w:r w:rsidR="006B2C6E" w:rsidRPr="006225EE">
                <w:rPr>
                  <w:rStyle w:val="Hyperlink"/>
                  <w:rFonts w:ascii="Calibri" w:hAnsi="Calibri" w:cs="Calibri"/>
                  <w:sz w:val="22"/>
                  <w:szCs w:val="22"/>
                </w:rPr>
                <w:t>Cops and Robbers</w:t>
              </w:r>
            </w:hyperlink>
          </w:p>
          <w:p w14:paraId="3DF10293" w14:textId="77777777" w:rsidR="006B2C6E" w:rsidRPr="00753725" w:rsidRDefault="000A0EA4" w:rsidP="006B2C6E">
            <w:pPr>
              <w:pStyle w:val="Default"/>
              <w:rPr>
                <w:rFonts w:ascii="Calibri" w:hAnsi="Calibri" w:cs="Calibri"/>
                <w:color w:val="0000FF"/>
                <w:sz w:val="22"/>
                <w:szCs w:val="22"/>
              </w:rPr>
            </w:pPr>
            <w:hyperlink r:id="rId9" w:history="1">
              <w:r w:rsidR="006B2C6E" w:rsidRPr="00753725">
                <w:rPr>
                  <w:rStyle w:val="Hyperlink"/>
                  <w:rFonts w:ascii="Calibri" w:hAnsi="Calibri"/>
                  <w:sz w:val="22"/>
                  <w:szCs w:val="22"/>
                </w:rPr>
                <w:t>Role of the judicial branch in Georgia state government</w:t>
              </w:r>
            </w:hyperlink>
            <w:r w:rsidR="006B2C6E" w:rsidRPr="00753725">
              <w:rPr>
                <w:rFonts w:ascii="Calibri" w:hAnsi="Calibri"/>
                <w:sz w:val="22"/>
                <w:szCs w:val="22"/>
              </w:rPr>
              <w:t xml:space="preserve"> </w:t>
            </w:r>
            <w:r w:rsidR="006B2C6E" w:rsidRPr="00753725">
              <w:rPr>
                <w:rFonts w:ascii="Calibri" w:hAnsi="Calibri"/>
                <w:b/>
                <w:color w:val="FF0000"/>
                <w:sz w:val="22"/>
                <w:szCs w:val="22"/>
              </w:rPr>
              <w:t>NEW!</w:t>
            </w:r>
          </w:p>
          <w:p w14:paraId="61FC873C" w14:textId="77777777" w:rsidR="006B2C6E" w:rsidRDefault="006B2C6E" w:rsidP="006B2C6E">
            <w:pPr>
              <w:pStyle w:val="Default"/>
              <w:rPr>
                <w:rFonts w:ascii="Calibri" w:hAnsi="Calibri" w:cs="Calibri"/>
                <w:color w:val="0000FF"/>
                <w:sz w:val="22"/>
                <w:szCs w:val="22"/>
              </w:rPr>
            </w:pPr>
          </w:p>
          <w:p w14:paraId="2FDCEDBA" w14:textId="77777777" w:rsidR="006B2C6E" w:rsidRPr="006225EE" w:rsidRDefault="006B2C6E" w:rsidP="006B2C6E">
            <w:pPr>
              <w:pStyle w:val="Default"/>
              <w:rPr>
                <w:rFonts w:ascii="Calibri" w:hAnsi="Calibri" w:cs="Calibri"/>
                <w:color w:val="0000FF"/>
                <w:sz w:val="22"/>
                <w:szCs w:val="22"/>
              </w:rPr>
            </w:pPr>
          </w:p>
          <w:p w14:paraId="4998C5BF" w14:textId="77777777" w:rsidR="006B2C6E" w:rsidRPr="0066441A" w:rsidRDefault="006B2C6E" w:rsidP="006B2C6E">
            <w:pPr>
              <w:pStyle w:val="Default"/>
              <w:rPr>
                <w:rFonts w:ascii="Calibri" w:hAnsi="Calibri" w:cs="Calibri"/>
                <w:b/>
                <w:color w:val="auto"/>
                <w:sz w:val="22"/>
                <w:szCs w:val="22"/>
              </w:rPr>
            </w:pPr>
            <w:r w:rsidRPr="0066441A">
              <w:rPr>
                <w:rFonts w:ascii="Calibri" w:hAnsi="Calibri" w:cs="Calibri"/>
                <w:b/>
                <w:color w:val="auto"/>
                <w:sz w:val="22"/>
                <w:szCs w:val="22"/>
              </w:rPr>
              <w:t>Digital Resources</w:t>
            </w:r>
          </w:p>
          <w:p w14:paraId="04E70DAD" w14:textId="77777777" w:rsidR="006B2C6E" w:rsidRPr="006225EE" w:rsidRDefault="000A0EA4" w:rsidP="000A0EA4">
            <w:pPr>
              <w:pStyle w:val="Default"/>
              <w:numPr>
                <w:ilvl w:val="0"/>
                <w:numId w:val="9"/>
              </w:numPr>
              <w:ind w:left="162" w:hanging="162"/>
              <w:rPr>
                <w:rFonts w:ascii="Calibri" w:hAnsi="Calibri" w:cs="Calibri"/>
                <w:color w:val="0000FF"/>
                <w:sz w:val="22"/>
                <w:szCs w:val="22"/>
              </w:rPr>
            </w:pPr>
            <w:hyperlink r:id="rId10" w:history="1">
              <w:r w:rsidR="006B2C6E" w:rsidRPr="006225EE">
                <w:rPr>
                  <w:rStyle w:val="Hyperlink"/>
                  <w:rFonts w:ascii="Calibri" w:hAnsi="Calibri" w:cs="Calibri"/>
                  <w:sz w:val="22"/>
                  <w:szCs w:val="22"/>
                </w:rPr>
                <w:t>Georgia Courts</w:t>
              </w:r>
            </w:hyperlink>
          </w:p>
          <w:p w14:paraId="2F045ECB" w14:textId="77777777" w:rsidR="006B2C6E" w:rsidRPr="006225EE" w:rsidRDefault="000A0EA4" w:rsidP="000A0EA4">
            <w:pPr>
              <w:pStyle w:val="Default"/>
              <w:numPr>
                <w:ilvl w:val="0"/>
                <w:numId w:val="9"/>
              </w:numPr>
              <w:ind w:left="162" w:hanging="162"/>
              <w:rPr>
                <w:rFonts w:ascii="Calibri" w:hAnsi="Calibri" w:cs="Calibri"/>
                <w:color w:val="0000FF"/>
                <w:sz w:val="22"/>
                <w:szCs w:val="22"/>
              </w:rPr>
            </w:pPr>
            <w:hyperlink r:id="rId11" w:history="1">
              <w:r w:rsidR="006B2C6E" w:rsidRPr="006225EE">
                <w:rPr>
                  <w:rStyle w:val="Hyperlink"/>
                  <w:rFonts w:ascii="Calibri" w:hAnsi="Calibri" w:cs="Calibri"/>
                  <w:sz w:val="22"/>
                  <w:szCs w:val="22"/>
                </w:rPr>
                <w:t>Diagram of Georgia Courts</w:t>
              </w:r>
            </w:hyperlink>
          </w:p>
          <w:p w14:paraId="55B56D62" w14:textId="77777777" w:rsidR="006B2C6E" w:rsidRPr="006225EE" w:rsidRDefault="006B2C6E" w:rsidP="000A0EA4">
            <w:pPr>
              <w:numPr>
                <w:ilvl w:val="0"/>
                <w:numId w:val="9"/>
              </w:numPr>
              <w:ind w:left="162" w:hanging="162"/>
              <w:contextualSpacing/>
              <w:rPr>
                <w:rFonts w:cs="Calibri"/>
              </w:rPr>
            </w:pPr>
            <w:r w:rsidRPr="006225EE">
              <w:rPr>
                <w:rFonts w:cs="Calibri"/>
              </w:rPr>
              <w:t xml:space="preserve"> </w:t>
            </w:r>
            <w:hyperlink r:id="rId12" w:history="1">
              <w:r w:rsidRPr="006225EE">
                <w:rPr>
                  <w:rStyle w:val="Hyperlink"/>
                  <w:rFonts w:cs="Calibri"/>
                </w:rPr>
                <w:t>Georgia Bar Association Law- Related Education for GPS</w:t>
              </w:r>
            </w:hyperlink>
          </w:p>
          <w:p w14:paraId="2C322810" w14:textId="77777777" w:rsidR="006B2C6E" w:rsidRPr="006225EE" w:rsidRDefault="000A0EA4" w:rsidP="000A0EA4">
            <w:pPr>
              <w:pStyle w:val="Default"/>
              <w:numPr>
                <w:ilvl w:val="0"/>
                <w:numId w:val="9"/>
              </w:numPr>
              <w:ind w:left="162" w:hanging="162"/>
              <w:rPr>
                <w:rFonts w:ascii="Calibri" w:hAnsi="Calibri" w:cs="Calibri"/>
                <w:sz w:val="22"/>
                <w:szCs w:val="22"/>
              </w:rPr>
            </w:pPr>
            <w:hyperlink r:id="rId13" w:history="1">
              <w:r w:rsidR="006B2C6E" w:rsidRPr="006225EE">
                <w:rPr>
                  <w:rStyle w:val="Hyperlink"/>
                  <w:rFonts w:ascii="Calibri" w:hAnsi="Calibri" w:cs="Calibri"/>
                  <w:sz w:val="22"/>
                  <w:szCs w:val="22"/>
                </w:rPr>
                <w:t>Judicial Branch Overview</w:t>
              </w:r>
            </w:hyperlink>
          </w:p>
          <w:p w14:paraId="1B37B107" w14:textId="77777777" w:rsidR="006B2C6E" w:rsidRPr="006225EE" w:rsidRDefault="000A0EA4" w:rsidP="000A0EA4">
            <w:pPr>
              <w:pStyle w:val="Default"/>
              <w:numPr>
                <w:ilvl w:val="0"/>
                <w:numId w:val="9"/>
              </w:numPr>
              <w:ind w:left="162" w:hanging="162"/>
              <w:rPr>
                <w:rFonts w:ascii="Calibri" w:hAnsi="Calibri" w:cs="Calibri"/>
                <w:sz w:val="22"/>
                <w:szCs w:val="22"/>
              </w:rPr>
            </w:pPr>
            <w:hyperlink r:id="rId14" w:history="1">
              <w:r w:rsidR="006B2C6E" w:rsidRPr="006225EE">
                <w:rPr>
                  <w:rStyle w:val="Hyperlink"/>
                  <w:rFonts w:ascii="Calibri" w:hAnsi="Calibri" w:cs="Calibri"/>
                  <w:sz w:val="22"/>
                  <w:szCs w:val="22"/>
                </w:rPr>
                <w:t>Supreme Court of Georgia</w:t>
              </w:r>
            </w:hyperlink>
          </w:p>
          <w:p w14:paraId="428F0A65" w14:textId="77777777" w:rsidR="006B2C6E" w:rsidRPr="006225EE" w:rsidRDefault="000A0EA4" w:rsidP="000A0EA4">
            <w:pPr>
              <w:pStyle w:val="Default"/>
              <w:numPr>
                <w:ilvl w:val="0"/>
                <w:numId w:val="9"/>
              </w:numPr>
              <w:ind w:left="162" w:hanging="162"/>
              <w:rPr>
                <w:rFonts w:ascii="Calibri" w:hAnsi="Calibri" w:cs="Calibri"/>
                <w:sz w:val="22"/>
                <w:szCs w:val="22"/>
              </w:rPr>
            </w:pPr>
            <w:hyperlink r:id="rId15" w:history="1">
              <w:r w:rsidR="006B2C6E" w:rsidRPr="006225EE">
                <w:rPr>
                  <w:rStyle w:val="Hyperlink"/>
                  <w:rFonts w:ascii="Calibri" w:hAnsi="Calibri" w:cs="Calibri"/>
                  <w:sz w:val="22"/>
                  <w:szCs w:val="22"/>
                </w:rPr>
                <w:t>Georgia Department of Juvenile Justice</w:t>
              </w:r>
            </w:hyperlink>
          </w:p>
          <w:p w14:paraId="4F4B9CDD" w14:textId="048EAF05" w:rsidR="00CC321F" w:rsidRDefault="000A0EA4" w:rsidP="006B2C6E">
            <w:pPr>
              <w:ind w:left="180"/>
              <w:rPr>
                <w:rFonts w:ascii="Arial Narrow" w:hAnsi="Arial Narrow"/>
                <w:sz w:val="18"/>
              </w:rPr>
            </w:pPr>
            <w:hyperlink r:id="rId16" w:history="1">
              <w:r w:rsidR="006B2C6E" w:rsidRPr="006225EE">
                <w:rPr>
                  <w:rStyle w:val="Hyperlink"/>
                  <w:rFonts w:ascii="Calibri" w:hAnsi="Calibri" w:cs="Calibri"/>
                  <w:sz w:val="22"/>
                  <w:szCs w:val="22"/>
                </w:rPr>
                <w:t xml:space="preserve">Court of Appeals of Georgia </w:t>
              </w:r>
            </w:hyperlink>
          </w:p>
        </w:tc>
      </w:tr>
      <w:tr w:rsidR="00865D01" w14:paraId="3BC4AC50" w14:textId="77777777" w:rsidTr="0078318C">
        <w:tc>
          <w:tcPr>
            <w:tcW w:w="10790" w:type="dxa"/>
          </w:tcPr>
          <w:p w14:paraId="71E4723D" w14:textId="77777777" w:rsidR="00CC321F" w:rsidRPr="001D671E" w:rsidRDefault="00CC321F" w:rsidP="00CC321F">
            <w:pPr>
              <w:pStyle w:val="Default"/>
              <w:rPr>
                <w:rFonts w:ascii="Calibri" w:hAnsi="Calibri"/>
                <w:b/>
                <w:sz w:val="22"/>
                <w:szCs w:val="22"/>
              </w:rPr>
            </w:pPr>
            <w:r>
              <w:rPr>
                <w:rFonts w:ascii="Calibri" w:hAnsi="Calibri"/>
                <w:b/>
                <w:sz w:val="22"/>
                <w:szCs w:val="22"/>
              </w:rPr>
              <w:t xml:space="preserve">Digital </w:t>
            </w:r>
            <w:r w:rsidRPr="001D671E">
              <w:rPr>
                <w:rFonts w:ascii="Calibri" w:hAnsi="Calibri"/>
                <w:b/>
                <w:sz w:val="22"/>
                <w:szCs w:val="22"/>
              </w:rPr>
              <w:t xml:space="preserve">Resources: </w:t>
            </w:r>
          </w:p>
          <w:p w14:paraId="63FF9388" w14:textId="77777777" w:rsidR="00CC321F" w:rsidRPr="003350EE" w:rsidRDefault="00CC321F" w:rsidP="00CC321F">
            <w:pPr>
              <w:pStyle w:val="NoSpacing"/>
            </w:pPr>
            <w:r w:rsidRPr="003350EE">
              <w:t>Georgia Stories</w:t>
            </w:r>
          </w:p>
          <w:p w14:paraId="5ECBAE88" w14:textId="77777777" w:rsidR="00CC321F" w:rsidRDefault="000A0EA4" w:rsidP="000A0EA4">
            <w:pPr>
              <w:pStyle w:val="NoSpacing"/>
              <w:numPr>
                <w:ilvl w:val="0"/>
                <w:numId w:val="5"/>
              </w:numPr>
            </w:pPr>
            <w:hyperlink r:id="rId17" w:history="1">
              <w:r w:rsidR="00CC321F" w:rsidRPr="00C664A2">
                <w:rPr>
                  <w:rStyle w:val="Hyperlink"/>
                </w:rPr>
                <w:t>The Executive Branch</w:t>
              </w:r>
            </w:hyperlink>
          </w:p>
          <w:p w14:paraId="46F38759" w14:textId="77777777" w:rsidR="00CC321F" w:rsidRDefault="00CC321F" w:rsidP="00CC321F">
            <w:pPr>
              <w:pStyle w:val="NoSpacing"/>
              <w:ind w:left="360"/>
            </w:pPr>
          </w:p>
          <w:p w14:paraId="079C4969" w14:textId="77777777" w:rsidR="00CC321F" w:rsidRPr="003350EE" w:rsidRDefault="00CC321F" w:rsidP="00CC321F">
            <w:pPr>
              <w:pStyle w:val="NoSpacing"/>
            </w:pPr>
          </w:p>
          <w:p w14:paraId="11B90016" w14:textId="77777777" w:rsidR="00CC321F" w:rsidRPr="003350EE" w:rsidRDefault="00CC321F" w:rsidP="00CC321F">
            <w:pPr>
              <w:pStyle w:val="NoSpacing"/>
            </w:pPr>
            <w:r w:rsidRPr="003350EE">
              <w:t>New Georgia Encyclopedia</w:t>
            </w:r>
          </w:p>
          <w:p w14:paraId="014515A7" w14:textId="77777777" w:rsidR="00CC321F" w:rsidRPr="003350EE" w:rsidRDefault="00CC321F" w:rsidP="00CC321F">
            <w:pPr>
              <w:pStyle w:val="NoSpacing"/>
            </w:pPr>
            <w:r w:rsidRPr="009D0EBB">
              <w:t>Executive Branch: Overview</w:t>
            </w:r>
          </w:p>
          <w:p w14:paraId="525C49FC" w14:textId="77777777" w:rsidR="00CC321F" w:rsidRDefault="000A0EA4" w:rsidP="000A0EA4">
            <w:pPr>
              <w:pStyle w:val="NoSpacing"/>
              <w:numPr>
                <w:ilvl w:val="0"/>
                <w:numId w:val="4"/>
              </w:numPr>
            </w:pPr>
            <w:hyperlink r:id="rId18" w:history="1">
              <w:r w:rsidR="00CC321F" w:rsidRPr="003350EE">
                <w:rPr>
                  <w:rStyle w:val="Hyperlink"/>
                </w:rPr>
                <w:t>Lieutenant Governor</w:t>
              </w:r>
            </w:hyperlink>
          </w:p>
          <w:p w14:paraId="398F29BB" w14:textId="77777777" w:rsidR="00CC321F" w:rsidRDefault="000A0EA4" w:rsidP="00CC321F">
            <w:pPr>
              <w:pStyle w:val="NoSpacing"/>
              <w:ind w:left="288"/>
            </w:pPr>
            <w:hyperlink r:id="rId19" w:history="1">
              <w:r w:rsidR="00CC321F" w:rsidRPr="00914C82">
                <w:rPr>
                  <w:rStyle w:val="Hyperlink"/>
                </w:rPr>
                <w:t>http://www.georgiaencyclopedia.org/nge/Article.jsp?id=h-830</w:t>
              </w:r>
            </w:hyperlink>
            <w:r w:rsidR="00CC321F">
              <w:t xml:space="preserve"> </w:t>
            </w:r>
          </w:p>
          <w:p w14:paraId="4440C06D" w14:textId="77777777" w:rsidR="00CC321F" w:rsidRPr="009D0EBB" w:rsidRDefault="000A0EA4" w:rsidP="000A0EA4">
            <w:pPr>
              <w:pStyle w:val="Default"/>
              <w:numPr>
                <w:ilvl w:val="0"/>
                <w:numId w:val="3"/>
              </w:numPr>
              <w:rPr>
                <w:rFonts w:ascii="Calibri" w:hAnsi="Calibri"/>
                <w:sz w:val="22"/>
                <w:szCs w:val="22"/>
              </w:rPr>
            </w:pPr>
            <w:hyperlink r:id="rId20" w:history="1">
              <w:r w:rsidR="00CC321F" w:rsidRPr="0066441A">
                <w:rPr>
                  <w:rStyle w:val="Hyperlink"/>
                  <w:rFonts w:ascii="Calibri" w:hAnsi="Calibri"/>
                  <w:sz w:val="22"/>
                  <w:szCs w:val="22"/>
                </w:rPr>
                <w:t>Office of the Governor</w:t>
              </w:r>
            </w:hyperlink>
          </w:p>
          <w:p w14:paraId="0322F91B" w14:textId="77777777" w:rsidR="00CC321F" w:rsidRPr="00E1000B" w:rsidRDefault="000A0EA4" w:rsidP="000A0EA4">
            <w:pPr>
              <w:pStyle w:val="Default"/>
              <w:numPr>
                <w:ilvl w:val="0"/>
                <w:numId w:val="3"/>
              </w:numPr>
              <w:rPr>
                <w:rFonts w:ascii="Calibri" w:hAnsi="Calibri"/>
                <w:sz w:val="22"/>
                <w:szCs w:val="22"/>
              </w:rPr>
            </w:pPr>
            <w:hyperlink r:id="rId21" w:history="1">
              <w:r w:rsidR="00CC321F" w:rsidRPr="0066441A">
                <w:rPr>
                  <w:rStyle w:val="Hyperlink"/>
                  <w:rFonts w:ascii="Calibri" w:hAnsi="Calibri"/>
                  <w:sz w:val="22"/>
                  <w:szCs w:val="22"/>
                </w:rPr>
                <w:t>Lieutenant Governor</w:t>
              </w:r>
            </w:hyperlink>
          </w:p>
          <w:p w14:paraId="6FBB3CAC" w14:textId="77777777" w:rsidR="00CC321F" w:rsidRPr="00E1000B" w:rsidRDefault="000A0EA4" w:rsidP="000A0EA4">
            <w:pPr>
              <w:pStyle w:val="Default"/>
              <w:numPr>
                <w:ilvl w:val="0"/>
                <w:numId w:val="2"/>
              </w:numPr>
              <w:rPr>
                <w:rFonts w:ascii="Calibri" w:hAnsi="Calibri"/>
                <w:sz w:val="22"/>
                <w:szCs w:val="22"/>
              </w:rPr>
            </w:pPr>
            <w:hyperlink r:id="rId22" w:history="1">
              <w:r w:rsidR="00CC321F" w:rsidRPr="0066441A">
                <w:rPr>
                  <w:rStyle w:val="Hyperlink"/>
                  <w:rFonts w:ascii="Calibri" w:hAnsi="Calibri"/>
                  <w:sz w:val="22"/>
                  <w:szCs w:val="22"/>
                </w:rPr>
                <w:t>Ben's Guide to Government for Kids</w:t>
              </w:r>
            </w:hyperlink>
          </w:p>
          <w:p w14:paraId="44A1004D" w14:textId="0F41C69B" w:rsidR="00865D01" w:rsidRDefault="00865D01" w:rsidP="00865D01">
            <w:pPr>
              <w:rPr>
                <w:rFonts w:ascii="Arial Narrow" w:hAnsi="Arial Narrow"/>
                <w:sz w:val="18"/>
              </w:rPr>
            </w:pPr>
          </w:p>
        </w:tc>
      </w:tr>
      <w:tr w:rsidR="00865D01" w14:paraId="46E3C300" w14:textId="77777777" w:rsidTr="0078318C">
        <w:tc>
          <w:tcPr>
            <w:tcW w:w="10790" w:type="dxa"/>
          </w:tcPr>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D776A"/>
    <w:multiLevelType w:val="hybridMultilevel"/>
    <w:tmpl w:val="F5BA91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F57270"/>
    <w:multiLevelType w:val="hybridMultilevel"/>
    <w:tmpl w:val="28803144"/>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E8763B"/>
    <w:multiLevelType w:val="hybridMultilevel"/>
    <w:tmpl w:val="F1AA9C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713F20"/>
    <w:multiLevelType w:val="hybridMultilevel"/>
    <w:tmpl w:val="DA323902"/>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470D4"/>
    <w:multiLevelType w:val="hybridMultilevel"/>
    <w:tmpl w:val="7CA2E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C80562"/>
    <w:multiLevelType w:val="hybridMultilevel"/>
    <w:tmpl w:val="67EA1A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A27A92"/>
    <w:multiLevelType w:val="hybridMultilevel"/>
    <w:tmpl w:val="E7F09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4D6201"/>
    <w:multiLevelType w:val="hybridMultilevel"/>
    <w:tmpl w:val="63E82B86"/>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9"/>
  </w:num>
  <w:num w:numId="5">
    <w:abstractNumId w:val="7"/>
  </w:num>
  <w:num w:numId="6">
    <w:abstractNumId w:val="5"/>
  </w:num>
  <w:num w:numId="7">
    <w:abstractNumId w:val="6"/>
  </w:num>
  <w:num w:numId="8">
    <w:abstractNumId w:val="3"/>
  </w:num>
  <w:num w:numId="9">
    <w:abstractNumId w:val="1"/>
  </w:num>
  <w:num w:numId="10">
    <w:abstractNumId w:val="0"/>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A0EA4"/>
    <w:rsid w:val="000F3E3C"/>
    <w:rsid w:val="00123E38"/>
    <w:rsid w:val="001370AB"/>
    <w:rsid w:val="001629D0"/>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22F60"/>
    <w:rsid w:val="00457C87"/>
    <w:rsid w:val="004721AD"/>
    <w:rsid w:val="004752A7"/>
    <w:rsid w:val="00490855"/>
    <w:rsid w:val="004A399B"/>
    <w:rsid w:val="004F6FFC"/>
    <w:rsid w:val="0051645A"/>
    <w:rsid w:val="00553CF9"/>
    <w:rsid w:val="005B0F36"/>
    <w:rsid w:val="00657FDA"/>
    <w:rsid w:val="00667731"/>
    <w:rsid w:val="00671A87"/>
    <w:rsid w:val="00697415"/>
    <w:rsid w:val="006A07F9"/>
    <w:rsid w:val="006B2C6E"/>
    <w:rsid w:val="006B5A60"/>
    <w:rsid w:val="006D3D1A"/>
    <w:rsid w:val="00717B31"/>
    <w:rsid w:val="00722519"/>
    <w:rsid w:val="007308AF"/>
    <w:rsid w:val="00781AE8"/>
    <w:rsid w:val="00782C2B"/>
    <w:rsid w:val="0078318C"/>
    <w:rsid w:val="007C260C"/>
    <w:rsid w:val="007E523B"/>
    <w:rsid w:val="00865D01"/>
    <w:rsid w:val="00893E21"/>
    <w:rsid w:val="00894878"/>
    <w:rsid w:val="008A1793"/>
    <w:rsid w:val="008D3C1F"/>
    <w:rsid w:val="008F7B98"/>
    <w:rsid w:val="00987306"/>
    <w:rsid w:val="009B3BE7"/>
    <w:rsid w:val="009B707D"/>
    <w:rsid w:val="009C69A0"/>
    <w:rsid w:val="00A936BC"/>
    <w:rsid w:val="00AC5F5B"/>
    <w:rsid w:val="00AD1871"/>
    <w:rsid w:val="00B0714E"/>
    <w:rsid w:val="00B142EB"/>
    <w:rsid w:val="00B23E33"/>
    <w:rsid w:val="00B70C0B"/>
    <w:rsid w:val="00BC5F89"/>
    <w:rsid w:val="00BF0A84"/>
    <w:rsid w:val="00C3073D"/>
    <w:rsid w:val="00C50927"/>
    <w:rsid w:val="00CC321F"/>
    <w:rsid w:val="00CD1EAC"/>
    <w:rsid w:val="00CF7568"/>
    <w:rsid w:val="00DB3582"/>
    <w:rsid w:val="00DB5967"/>
    <w:rsid w:val="00E06116"/>
    <w:rsid w:val="00E5026C"/>
    <w:rsid w:val="00E76559"/>
    <w:rsid w:val="00E81B93"/>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1255748349">
      <w:bodyDiv w:val="1"/>
      <w:marLeft w:val="0"/>
      <w:marRight w:val="0"/>
      <w:marTop w:val="0"/>
      <w:marBottom w:val="0"/>
      <w:divBdr>
        <w:top w:val="none" w:sz="0" w:space="0" w:color="auto"/>
        <w:left w:val="none" w:sz="0" w:space="0" w:color="auto"/>
        <w:bottom w:val="none" w:sz="0" w:space="0" w:color="auto"/>
        <w:right w:val="none" w:sz="0" w:space="0" w:color="auto"/>
      </w:divBdr>
      <w:divsChild>
        <w:div w:id="308704313">
          <w:marLeft w:val="0"/>
          <w:marRight w:val="0"/>
          <w:marTop w:val="0"/>
          <w:marBottom w:val="0"/>
          <w:divBdr>
            <w:top w:val="none" w:sz="0" w:space="0" w:color="auto"/>
            <w:left w:val="none" w:sz="0" w:space="0" w:color="auto"/>
            <w:bottom w:val="none" w:sz="0" w:space="0" w:color="auto"/>
            <w:right w:val="none" w:sz="0" w:space="0" w:color="auto"/>
          </w:divBdr>
          <w:divsChild>
            <w:div w:id="133065192">
              <w:marLeft w:val="0"/>
              <w:marRight w:val="0"/>
              <w:marTop w:val="0"/>
              <w:marBottom w:val="0"/>
              <w:divBdr>
                <w:top w:val="none" w:sz="0" w:space="0" w:color="auto"/>
                <w:left w:val="none" w:sz="0" w:space="0" w:color="auto"/>
                <w:bottom w:val="none" w:sz="0" w:space="0" w:color="auto"/>
                <w:right w:val="none" w:sz="0" w:space="0" w:color="auto"/>
              </w:divBdr>
              <w:divsChild>
                <w:div w:id="609895732">
                  <w:marLeft w:val="435"/>
                  <w:marRight w:val="435"/>
                  <w:marTop w:val="405"/>
                  <w:marBottom w:val="450"/>
                  <w:divBdr>
                    <w:top w:val="none" w:sz="0" w:space="0" w:color="auto"/>
                    <w:left w:val="none" w:sz="0" w:space="0" w:color="auto"/>
                    <w:bottom w:val="none" w:sz="0" w:space="0" w:color="auto"/>
                    <w:right w:val="none" w:sz="0" w:space="0" w:color="auto"/>
                  </w:divBdr>
                  <w:divsChild>
                    <w:div w:id="1658799420">
                      <w:marLeft w:val="240"/>
                      <w:marRight w:val="270"/>
                      <w:marTop w:val="0"/>
                      <w:marBottom w:val="315"/>
                      <w:divBdr>
                        <w:top w:val="none" w:sz="0" w:space="0" w:color="auto"/>
                        <w:left w:val="none" w:sz="0" w:space="0" w:color="auto"/>
                        <w:bottom w:val="none" w:sz="0" w:space="0" w:color="auto"/>
                        <w:right w:val="none" w:sz="0" w:space="0" w:color="auto"/>
                      </w:divBdr>
                      <w:divsChild>
                        <w:div w:id="456532300">
                          <w:marLeft w:val="0"/>
                          <w:marRight w:val="0"/>
                          <w:marTop w:val="420"/>
                          <w:marBottom w:val="0"/>
                          <w:divBdr>
                            <w:top w:val="single" w:sz="6" w:space="0" w:color="CECFD1"/>
                            <w:left w:val="none" w:sz="0" w:space="0" w:color="auto"/>
                            <w:bottom w:val="none" w:sz="0" w:space="0" w:color="auto"/>
                            <w:right w:val="none" w:sz="0" w:space="0" w:color="auto"/>
                          </w:divBdr>
                          <w:divsChild>
                            <w:div w:id="1736972006">
                              <w:marLeft w:val="0"/>
                              <w:marRight w:val="0"/>
                              <w:marTop w:val="0"/>
                              <w:marBottom w:val="0"/>
                              <w:divBdr>
                                <w:top w:val="none" w:sz="0" w:space="0" w:color="auto"/>
                                <w:left w:val="none" w:sz="0" w:space="0" w:color="auto"/>
                                <w:bottom w:val="none" w:sz="0" w:space="0" w:color="auto"/>
                                <w:right w:val="none" w:sz="0" w:space="0" w:color="auto"/>
                              </w:divBdr>
                            </w:div>
                            <w:div w:id="265114227">
                              <w:marLeft w:val="0"/>
                              <w:marRight w:val="0"/>
                              <w:marTop w:val="0"/>
                              <w:marBottom w:val="0"/>
                              <w:divBdr>
                                <w:top w:val="none" w:sz="0" w:space="0" w:color="auto"/>
                                <w:left w:val="none" w:sz="0" w:space="0" w:color="auto"/>
                                <w:bottom w:val="none" w:sz="0" w:space="0" w:color="auto"/>
                                <w:right w:val="none" w:sz="0" w:space="0" w:color="auto"/>
                              </w:divBdr>
                            </w:div>
                            <w:div w:id="957026384">
                              <w:marLeft w:val="0"/>
                              <w:marRight w:val="0"/>
                              <w:marTop w:val="0"/>
                              <w:marBottom w:val="0"/>
                              <w:divBdr>
                                <w:top w:val="none" w:sz="0" w:space="0" w:color="auto"/>
                                <w:left w:val="none" w:sz="0" w:space="0" w:color="auto"/>
                                <w:bottom w:val="none" w:sz="0" w:space="0" w:color="auto"/>
                                <w:right w:val="none" w:sz="0" w:space="0" w:color="auto"/>
                              </w:divBdr>
                            </w:div>
                            <w:div w:id="1576932597">
                              <w:marLeft w:val="0"/>
                              <w:marRight w:val="0"/>
                              <w:marTop w:val="0"/>
                              <w:marBottom w:val="0"/>
                              <w:divBdr>
                                <w:top w:val="none" w:sz="0" w:space="0" w:color="auto"/>
                                <w:left w:val="none" w:sz="0" w:space="0" w:color="auto"/>
                                <w:bottom w:val="none" w:sz="0" w:space="0" w:color="auto"/>
                                <w:right w:val="none" w:sz="0" w:space="0" w:color="auto"/>
                              </w:divBdr>
                            </w:div>
                            <w:div w:id="17604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grimes\AppData\Local\Microsoft\Windows\INetCache\Content.Outlook\MMBZO331\Georgia%20Stories" TargetMode="External"/><Relationship Id="rId13" Type="http://schemas.openxmlformats.org/officeDocument/2006/relationships/hyperlink" Target="http://www.georgiaencyclopedia.org/nge/Article.jsp?id=h-2841&amp;hl=y" TargetMode="External"/><Relationship Id="rId18" Type="http://schemas.openxmlformats.org/officeDocument/2006/relationships/hyperlink" Target="http://www.georgiaencyclopedia.org/nge/Article.jsp?id=h-830" TargetMode="External"/><Relationship Id="rId3" Type="http://schemas.openxmlformats.org/officeDocument/2006/relationships/customXml" Target="../customXml/item3.xml"/><Relationship Id="rId21" Type="http://schemas.openxmlformats.org/officeDocument/2006/relationships/hyperlink" Target="http://ltgov.georgia.gov/02/ltgov/home/0,2229,2199618,00.html" TargetMode="External"/><Relationship Id="rId7" Type="http://schemas.openxmlformats.org/officeDocument/2006/relationships/webSettings" Target="webSettings.xml"/><Relationship Id="rId12" Type="http://schemas.openxmlformats.org/officeDocument/2006/relationships/hyperlink" Target="http://www.gabar.org/law-related_education/" TargetMode="External"/><Relationship Id="rId17" Type="http://schemas.openxmlformats.org/officeDocument/2006/relationships/hyperlink" Target="http://www.gpb.org/georgiastories/stories/executive_branch" TargetMode="External"/><Relationship Id="rId2" Type="http://schemas.openxmlformats.org/officeDocument/2006/relationships/customXml" Target="../customXml/item2.xml"/><Relationship Id="rId16" Type="http://schemas.openxmlformats.org/officeDocument/2006/relationships/hyperlink" Target="http://www.georgiaencyclopedia.org/nge/Article.jsp?id=h-3788" TargetMode="External"/><Relationship Id="rId20" Type="http://schemas.openxmlformats.org/officeDocument/2006/relationships/hyperlink" Target="http://gov.georgia.gov/02/governor/home/0,2822,165937316,00.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courts.org/index.php?option=com_content&amp;view=article&amp;id=180&amp;Itemid=27"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djj.state.ga.us/" TargetMode="External"/><Relationship Id="rId23" Type="http://schemas.openxmlformats.org/officeDocument/2006/relationships/fontTable" Target="fontTable.xml"/><Relationship Id="rId10" Type="http://schemas.openxmlformats.org/officeDocument/2006/relationships/hyperlink" Target="http://www.georgiacourts.org/" TargetMode="External"/><Relationship Id="rId19" Type="http://schemas.openxmlformats.org/officeDocument/2006/relationships/hyperlink" Target="http://www.georgiaencyclopedia.org/nge/Article.jsp?id=h-830" TargetMode="External"/><Relationship Id="rId4" Type="http://schemas.openxmlformats.org/officeDocument/2006/relationships/numbering" Target="numbering.xml"/><Relationship Id="rId9" Type="http://schemas.openxmlformats.org/officeDocument/2006/relationships/hyperlink" Target="http://www.gpb.org/georgiastories/gps/SS8CG4" TargetMode="External"/><Relationship Id="rId14" Type="http://schemas.openxmlformats.org/officeDocument/2006/relationships/hyperlink" Target="http://www.gasupreme.us/" TargetMode="External"/><Relationship Id="rId22" Type="http://schemas.openxmlformats.org/officeDocument/2006/relationships/hyperlink" Target="http://bensguide.gp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1542</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2016-01-06T00:42:00Z</dcterms:created>
  <dcterms:modified xsi:type="dcterms:W3CDTF">2016-01-06T00:42:00Z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